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様式第１８号　温泉成分等の掲示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○○温泉の成分、禁忌症、適応症及び入浴又は飲用上の注意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3024"/>
        <w:gridCol w:w="2912"/>
        <w:gridCol w:w="2912"/>
      </w:tblGrid>
      <w:tr>
        <w:trPr/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　　分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禁忌症、適応症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成分に影響を与える項目</w:t>
            </w:r>
          </w:p>
        </w:tc>
      </w:tr>
      <w:tr>
        <w:trPr/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１　源泉名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２　泉質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52705</wp:posOffset>
                      </wp:positionV>
                      <wp:extent cx="35560" cy="5937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5560" cy="593725"/>
                              </a:xfrm>
                              <a:prstGeom prst="leftBrace">
                                <a:avLst>
                                  <a:gd name="adj1" fmla="val 50541"/>
                                  <a:gd name="adj2" fmla="val 50000"/>
                                </a:avLst>
                              </a:pr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26" style="margin-top:4.1500000000000004pt;mso-position-vertical-relative:text;mso-position-horizontal-relative:text;position:absolute;height:46.75pt;width:2.8pt;margin-left:72.650000000000006pt;z-index:2;" filled="f" stroked="t" strokecolor="#000000" strokeweight="0.56692913385826771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源　泉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３　泉　温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</w:t>
            </w:r>
            <w:r>
              <w:rPr>
                <w:rFonts w:hint="eastAsia"/>
              </w:rPr>
              <w:t>　使用位置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４　温泉の成分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５　温泉の分析年月日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６　分析機関の名称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</w:rPr>
              <w:t>及び登録番号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１　禁忌症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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浴　用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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飲　用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２　適応症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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浴　用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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飲　用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３　入浴の方法及び注意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４　飲用の方法及び注意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５　適応症、禁忌症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決定年月日</w:t>
            </w: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25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６　決定者</w:t>
            </w: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※　成分に影響を与える項目の欄には、温泉法施行規則（昭和２３年厚生省令第３５号）第１０条第２項第１号から第４号までに掲げる事項のうち該当するものを記載してください。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2012-08-17T05:15:38Z</dcterms:created>
  <dcterms:modified xsi:type="dcterms:W3CDTF">2018-08-22T09:45:14Z</dcterms:modified>
  <cp:revision>101</cp:revision>
</cp:coreProperties>
</file>